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9" w:rsidRDefault="00002A59" w:rsidP="00F60E63">
      <w:pPr>
        <w:bidi/>
        <w:jc w:val="center"/>
        <w:rPr>
          <w:rFonts w:asciiTheme="majorHAnsi" w:hAnsiTheme="majorHAnsi" w:hint="cs"/>
          <w:b/>
          <w:bCs/>
          <w:u w:val="single"/>
          <w:rtl/>
          <w:lang w:bidi="ar-EG"/>
        </w:rPr>
      </w:pPr>
      <w:r>
        <w:rPr>
          <w:noProof/>
        </w:rPr>
        <w:drawing>
          <wp:inline distT="0" distB="0" distL="0" distR="0">
            <wp:extent cx="1389207" cy="1130439"/>
            <wp:effectExtent l="19050" t="0" r="1443" b="0"/>
            <wp:docPr id="1" name="Picture 1" descr="NTRALogo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RALogo(Fina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14" cy="113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E" w:rsidRDefault="00612127" w:rsidP="00002A59">
      <w:pPr>
        <w:bidi/>
        <w:jc w:val="center"/>
        <w:rPr>
          <w:rFonts w:asciiTheme="majorHAnsi" w:hAnsiTheme="majorHAnsi"/>
          <w:b/>
          <w:bCs/>
          <w:u w:val="single"/>
          <w:lang w:bidi="ar-EG"/>
        </w:rPr>
      </w:pPr>
      <w:r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التعارف </w:t>
      </w:r>
      <w:r w:rsidR="00002A59" w:rsidRPr="00175F51">
        <w:rPr>
          <w:rFonts w:asciiTheme="majorHAnsi" w:hAnsiTheme="majorHAnsi" w:hint="cs"/>
          <w:b/>
          <w:bCs/>
          <w:u w:val="single"/>
          <w:rtl/>
          <w:lang w:bidi="ar-EG"/>
        </w:rPr>
        <w:t>البيني</w:t>
      </w:r>
      <w:r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 لشهادات </w:t>
      </w:r>
      <w:r w:rsidR="00FD5D85" w:rsidRPr="00175F51">
        <w:rPr>
          <w:rFonts w:asciiTheme="majorHAnsi" w:hAnsiTheme="majorHAnsi" w:hint="cs"/>
          <w:b/>
          <w:bCs/>
          <w:u w:val="single"/>
          <w:rtl/>
          <w:lang w:bidi="ar-EG"/>
        </w:rPr>
        <w:t>اعتماد</w:t>
      </w:r>
      <w:r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 النوع/إجازة الطراز </w:t>
      </w:r>
      <w:r w:rsidR="00F60E63">
        <w:rPr>
          <w:rFonts w:asciiTheme="majorHAnsi" w:hAnsiTheme="majorHAnsi" w:hint="cs"/>
          <w:b/>
          <w:bCs/>
          <w:u w:val="single"/>
          <w:rtl/>
          <w:lang w:bidi="ar-EG"/>
        </w:rPr>
        <w:t>لمعدات</w:t>
      </w:r>
      <w:r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 </w:t>
      </w:r>
      <w:r w:rsidR="00FD5D85" w:rsidRPr="00175F51">
        <w:rPr>
          <w:rFonts w:asciiTheme="majorHAnsi" w:hAnsiTheme="majorHAnsi" w:hint="cs"/>
          <w:b/>
          <w:bCs/>
          <w:u w:val="single"/>
          <w:rtl/>
          <w:lang w:bidi="ar-EG"/>
        </w:rPr>
        <w:t>الاتصالات</w:t>
      </w:r>
      <w:r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 بين الدول أعضاء شبكة منظمين </w:t>
      </w:r>
      <w:r w:rsidR="00FD5D85" w:rsidRPr="00175F51">
        <w:rPr>
          <w:rFonts w:asciiTheme="majorHAnsi" w:hAnsiTheme="majorHAnsi" w:hint="cs"/>
          <w:b/>
          <w:bCs/>
          <w:u w:val="single"/>
          <w:rtl/>
          <w:lang w:bidi="ar-EG"/>
        </w:rPr>
        <w:t>الاتصالات</w:t>
      </w:r>
      <w:r w:rsidR="00175F51" w:rsidRPr="00175F51">
        <w:rPr>
          <w:rFonts w:asciiTheme="majorHAnsi" w:hAnsiTheme="majorHAnsi"/>
          <w:b/>
          <w:bCs/>
          <w:u w:val="single"/>
          <w:rtl/>
          <w:lang w:bidi="ar-EG"/>
        </w:rPr>
        <w:t xml:space="preserve"> العرب </w:t>
      </w:r>
      <w:r w:rsidR="00175F51" w:rsidRPr="00175F51">
        <w:rPr>
          <w:rFonts w:asciiTheme="majorHAnsi" w:hAnsiTheme="majorHAnsi"/>
          <w:b/>
          <w:bCs/>
          <w:u w:val="single"/>
          <w:lang w:bidi="ar-EG"/>
        </w:rPr>
        <w:t>ARABNET</w:t>
      </w:r>
    </w:p>
    <w:p w:rsidR="00175F51" w:rsidRDefault="00175F51" w:rsidP="00175F51">
      <w:pPr>
        <w:bidi/>
        <w:jc w:val="center"/>
        <w:rPr>
          <w:rFonts w:asciiTheme="majorHAnsi" w:hAnsiTheme="majorHAnsi"/>
          <w:b/>
          <w:bCs/>
          <w:u w:val="single"/>
          <w:lang w:bidi="ar-EG"/>
        </w:rPr>
      </w:pPr>
      <w:r>
        <w:rPr>
          <w:rFonts w:asciiTheme="majorHAnsi" w:hAnsiTheme="majorHAnsi"/>
          <w:b/>
          <w:bCs/>
          <w:u w:val="single"/>
          <w:lang w:bidi="ar-EG"/>
        </w:rPr>
        <w:t>Mutual Recognition of Telecommunications Equipments Type Approval certificates between members of Arab Regulators Network ARABNET</w:t>
      </w:r>
    </w:p>
    <w:p w:rsidR="00175F51" w:rsidRDefault="00175F51" w:rsidP="00175F51">
      <w:pPr>
        <w:bidi/>
        <w:rPr>
          <w:rFonts w:asciiTheme="majorHAnsi" w:hAnsiTheme="majorHAnsi"/>
          <w:b/>
          <w:bCs/>
          <w:u w:val="single"/>
          <w:lang w:bidi="ar-EG"/>
        </w:rPr>
      </w:pPr>
    </w:p>
    <w:p w:rsidR="00175F51" w:rsidRDefault="00FD5D85" w:rsidP="00FD5D85">
      <w:pPr>
        <w:bidi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/>
          <w:sz w:val="24"/>
          <w:szCs w:val="24"/>
          <w:rtl/>
          <w:lang w:bidi="ar-EG"/>
        </w:rPr>
        <w:t xml:space="preserve">المقصود </w:t>
      </w:r>
      <w:r w:rsidR="00175F51" w:rsidRPr="00FD5D85">
        <w:rPr>
          <w:rFonts w:cs="Traditional Arabic"/>
          <w:sz w:val="24"/>
          <w:szCs w:val="24"/>
          <w:rtl/>
          <w:lang w:bidi="ar-EG"/>
        </w:rPr>
        <w:t xml:space="preserve">قبول شهادة </w:t>
      </w:r>
      <w:r w:rsidRPr="00FD5D85">
        <w:rPr>
          <w:rFonts w:cs="Traditional Arabic" w:hint="cs"/>
          <w:sz w:val="24"/>
          <w:szCs w:val="24"/>
          <w:rtl/>
          <w:lang w:bidi="ar-EG"/>
        </w:rPr>
        <w:t>اعتماد</w:t>
      </w:r>
      <w:r w:rsidR="00175F51" w:rsidRPr="00FD5D85">
        <w:rPr>
          <w:rFonts w:cs="Traditional Arabic"/>
          <w:sz w:val="24"/>
          <w:szCs w:val="24"/>
          <w:rtl/>
          <w:lang w:bidi="ar-EG"/>
        </w:rPr>
        <w:t xml:space="preserve"> النوع/إجازة الطراز </w:t>
      </w:r>
      <w:r w:rsidR="00F60E63" w:rsidRPr="00FD5D85">
        <w:rPr>
          <w:rFonts w:cs="Traditional Arabic"/>
          <w:sz w:val="24"/>
          <w:szCs w:val="24"/>
          <w:rtl/>
          <w:lang w:bidi="ar-EG"/>
        </w:rPr>
        <w:t>لمعدات</w:t>
      </w:r>
      <w:r w:rsidR="00175F51" w:rsidRPr="00FD5D85">
        <w:rPr>
          <w:rFonts w:cs="Traditional Arabic"/>
          <w:sz w:val="24"/>
          <w:szCs w:val="24"/>
          <w:rtl/>
          <w:lang w:bidi="ar-EG"/>
        </w:rPr>
        <w:t xml:space="preserve"> </w:t>
      </w:r>
      <w:r w:rsidRPr="00FD5D85">
        <w:rPr>
          <w:rFonts w:cs="Traditional Arabic" w:hint="cs"/>
          <w:sz w:val="24"/>
          <w:szCs w:val="24"/>
          <w:rtl/>
          <w:lang w:bidi="ar-EG"/>
        </w:rPr>
        <w:t>الاتصالات</w:t>
      </w:r>
      <w:r w:rsidR="00175F51" w:rsidRPr="00FD5D85">
        <w:rPr>
          <w:rFonts w:cs="Traditional Arabic"/>
          <w:sz w:val="24"/>
          <w:szCs w:val="24"/>
          <w:rtl/>
          <w:lang w:bidi="ar-EG"/>
        </w:rPr>
        <w:t xml:space="preserve"> الصادرة من أحد الدول أعضاء الشبكة العربية </w:t>
      </w:r>
      <w:r w:rsidR="00F60E63" w:rsidRPr="00FD5D85">
        <w:rPr>
          <w:rFonts w:cs="Traditional Arabic"/>
          <w:sz w:val="24"/>
          <w:szCs w:val="24"/>
          <w:rtl/>
          <w:lang w:bidi="ar-EG"/>
        </w:rPr>
        <w:t xml:space="preserve">كجزء من الدليل </w:t>
      </w:r>
      <w:r w:rsidRPr="00FD5D85">
        <w:rPr>
          <w:rFonts w:cs="Traditional Arabic" w:hint="cs"/>
          <w:sz w:val="24"/>
          <w:szCs w:val="24"/>
          <w:rtl/>
          <w:lang w:bidi="ar-EG"/>
        </w:rPr>
        <w:t>الفني</w:t>
      </w:r>
      <w:r w:rsidR="00F60E63" w:rsidRPr="00FD5D85">
        <w:rPr>
          <w:rFonts w:cs="Traditional Arabic"/>
          <w:sz w:val="24"/>
          <w:szCs w:val="24"/>
          <w:rtl/>
          <w:lang w:bidi="ar-EG"/>
        </w:rPr>
        <w:t xml:space="preserve"> </w:t>
      </w:r>
      <w:r w:rsidR="00F60E63" w:rsidRPr="00FD5D85">
        <w:rPr>
          <w:rFonts w:cs="Traditional Arabic"/>
          <w:sz w:val="24"/>
          <w:szCs w:val="24"/>
          <w:lang w:bidi="ar-EG"/>
        </w:rPr>
        <w:t>Technical Evidence</w:t>
      </w:r>
      <w:r w:rsidR="00F60E63" w:rsidRPr="00FD5D85">
        <w:rPr>
          <w:rFonts w:cs="Traditional Arabic"/>
          <w:sz w:val="24"/>
          <w:szCs w:val="24"/>
          <w:rtl/>
          <w:lang w:bidi="ar-EG"/>
        </w:rPr>
        <w:t xml:space="preserve"> المقدم من المصنع </w:t>
      </w:r>
      <w:r w:rsidRPr="00FD5D85">
        <w:rPr>
          <w:rFonts w:cs="Traditional Arabic" w:hint="cs"/>
          <w:sz w:val="24"/>
          <w:szCs w:val="24"/>
          <w:rtl/>
          <w:lang w:bidi="ar-EG"/>
        </w:rPr>
        <w:t>لإثبات</w:t>
      </w:r>
      <w:r w:rsidR="00F60E63" w:rsidRPr="00FD5D85">
        <w:rPr>
          <w:rFonts w:cs="Traditional Arabic"/>
          <w:sz w:val="24"/>
          <w:szCs w:val="24"/>
          <w:rtl/>
          <w:lang w:bidi="ar-EG"/>
        </w:rPr>
        <w:t xml:space="preserve"> توافق المعدة مع المواصفات الدولية المعتمدة</w:t>
      </w:r>
      <w:r>
        <w:rPr>
          <w:rFonts w:cs="Traditional Arabic" w:hint="cs"/>
          <w:sz w:val="24"/>
          <w:szCs w:val="24"/>
          <w:rtl/>
          <w:lang w:bidi="ar-EG"/>
        </w:rPr>
        <w:t xml:space="preserve"> .</w:t>
      </w:r>
    </w:p>
    <w:p w:rsidR="0053560B" w:rsidRDefault="00FD5D85" w:rsidP="0053560B">
      <w:pPr>
        <w:bidi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و يساعد ذلك </w:t>
      </w:r>
      <w:r w:rsidR="00002A59">
        <w:rPr>
          <w:rFonts w:cs="Traditional Arabic" w:hint="cs"/>
          <w:sz w:val="24"/>
          <w:szCs w:val="24"/>
          <w:rtl/>
          <w:lang w:bidi="ar-EG"/>
        </w:rPr>
        <w:t>في</w:t>
      </w:r>
      <w:r w:rsidR="0053560B">
        <w:rPr>
          <w:rFonts w:cs="Traditional Arabic" w:hint="cs"/>
          <w:sz w:val="24"/>
          <w:szCs w:val="24"/>
          <w:rtl/>
          <w:lang w:bidi="ar-EG"/>
        </w:rPr>
        <w:t>:</w:t>
      </w:r>
    </w:p>
    <w:p w:rsidR="0053560B" w:rsidRDefault="00FD5D85" w:rsidP="0053560B">
      <w:pPr>
        <w:pStyle w:val="ListParagraph"/>
        <w:numPr>
          <w:ilvl w:val="0"/>
          <w:numId w:val="2"/>
        </w:numPr>
        <w:bidi/>
        <w:jc w:val="both"/>
        <w:rPr>
          <w:rFonts w:cs="Traditional Arabic"/>
          <w:sz w:val="24"/>
          <w:szCs w:val="24"/>
          <w:lang w:bidi="ar-EG"/>
        </w:rPr>
      </w:pPr>
      <w:r w:rsidRPr="0053560B">
        <w:rPr>
          <w:rFonts w:cs="Traditional Arabic" w:hint="cs"/>
          <w:sz w:val="24"/>
          <w:szCs w:val="24"/>
          <w:rtl/>
          <w:lang w:bidi="ar-EG"/>
        </w:rPr>
        <w:t xml:space="preserve">تيسير </w:t>
      </w:r>
      <w:r w:rsidR="0053560B">
        <w:rPr>
          <w:rFonts w:cs="Traditional Arabic" w:hint="cs"/>
          <w:sz w:val="24"/>
          <w:szCs w:val="24"/>
          <w:rtl/>
          <w:lang w:bidi="ar-EG"/>
        </w:rPr>
        <w:t xml:space="preserve">الإجراءات و </w:t>
      </w:r>
      <w:r w:rsidRPr="0053560B">
        <w:rPr>
          <w:rFonts w:cs="Traditional Arabic" w:hint="cs"/>
          <w:sz w:val="24"/>
          <w:szCs w:val="24"/>
          <w:rtl/>
          <w:lang w:bidi="ar-EG"/>
        </w:rPr>
        <w:t xml:space="preserve">التبادل </w:t>
      </w:r>
      <w:r w:rsidR="0053560B" w:rsidRPr="0053560B">
        <w:rPr>
          <w:rFonts w:cs="Traditional Arabic" w:hint="cs"/>
          <w:sz w:val="24"/>
          <w:szCs w:val="24"/>
          <w:rtl/>
          <w:lang w:bidi="ar-EG"/>
        </w:rPr>
        <w:t>التجاري</w:t>
      </w:r>
      <w:r w:rsidRPr="0053560B"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="0053560B">
        <w:rPr>
          <w:rFonts w:cs="Traditional Arabic" w:hint="cs"/>
          <w:sz w:val="24"/>
          <w:szCs w:val="24"/>
          <w:rtl/>
          <w:lang w:bidi="ar-EG"/>
        </w:rPr>
        <w:t xml:space="preserve">و فتح أسواق </w:t>
      </w:r>
      <w:r w:rsidR="0053560B" w:rsidRPr="0053560B">
        <w:rPr>
          <w:rFonts w:cs="Traditional Arabic" w:hint="cs"/>
          <w:sz w:val="24"/>
          <w:szCs w:val="24"/>
          <w:rtl/>
          <w:lang w:bidi="ar-EG"/>
        </w:rPr>
        <w:t xml:space="preserve">أجهزة الاتصالات </w:t>
      </w:r>
      <w:r w:rsidR="0053560B">
        <w:rPr>
          <w:rFonts w:cs="Traditional Arabic" w:hint="cs"/>
          <w:sz w:val="24"/>
          <w:szCs w:val="24"/>
          <w:rtl/>
          <w:lang w:bidi="ar-EG"/>
        </w:rPr>
        <w:t>بين الدول أعضاء الشبكة.</w:t>
      </w:r>
    </w:p>
    <w:p w:rsidR="0053560B" w:rsidRDefault="0053560B" w:rsidP="0053560B">
      <w:pPr>
        <w:pStyle w:val="ListParagraph"/>
        <w:numPr>
          <w:ilvl w:val="0"/>
          <w:numId w:val="2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>خفض تكلفة أنشاء معامل اختبار مطابقة المواصفات لأجهزة الاتصالات في بعض البلدان حيث يتم الاعتماد على المعامل المجهزة بالبلدان الأخرى.</w:t>
      </w:r>
    </w:p>
    <w:p w:rsidR="00FD5D85" w:rsidRPr="0053560B" w:rsidRDefault="0053560B" w:rsidP="00AA4368">
      <w:pPr>
        <w:pStyle w:val="ListParagraph"/>
        <w:numPr>
          <w:ilvl w:val="0"/>
          <w:numId w:val="2"/>
        </w:numPr>
        <w:bidi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توحيد الإجراءات و المواصفات المعتمدة لدى الدول أعضاء الشبكة </w:t>
      </w:r>
      <w:r w:rsidR="00C2469E">
        <w:rPr>
          <w:rFonts w:cs="Traditional Arabic" w:hint="cs"/>
          <w:sz w:val="24"/>
          <w:szCs w:val="24"/>
          <w:rtl/>
          <w:lang w:bidi="ar-EG"/>
        </w:rPr>
        <w:t xml:space="preserve">(الدول الراغبة) </w:t>
      </w:r>
      <w:r>
        <w:rPr>
          <w:rFonts w:cs="Traditional Arabic" w:hint="cs"/>
          <w:sz w:val="24"/>
          <w:szCs w:val="24"/>
          <w:rtl/>
          <w:lang w:bidi="ar-EG"/>
        </w:rPr>
        <w:t xml:space="preserve">و الظهور دولياً ككتلة واحدة تمثل الدول العربية </w:t>
      </w:r>
      <w:r w:rsidR="00AA4368">
        <w:rPr>
          <w:rFonts w:cs="Traditional Arabic" w:hint="cs"/>
          <w:sz w:val="24"/>
          <w:szCs w:val="24"/>
          <w:rtl/>
          <w:lang w:bidi="ar-EG"/>
        </w:rPr>
        <w:t xml:space="preserve">و تكون </w:t>
      </w:r>
      <w:r>
        <w:rPr>
          <w:rFonts w:cs="Traditional Arabic" w:hint="cs"/>
          <w:sz w:val="24"/>
          <w:szCs w:val="24"/>
          <w:rtl/>
          <w:lang w:bidi="ar-EG"/>
        </w:rPr>
        <w:t xml:space="preserve">ذات ثقل في سوق أجهزة الاتصالات الدولية. </w:t>
      </w:r>
      <w:r w:rsidR="00FD5D85" w:rsidRPr="0053560B">
        <w:rPr>
          <w:rFonts w:cs="Traditional Arabic" w:hint="cs"/>
          <w:sz w:val="24"/>
          <w:szCs w:val="24"/>
          <w:rtl/>
          <w:lang w:bidi="ar-EG"/>
        </w:rPr>
        <w:t xml:space="preserve"> </w:t>
      </w:r>
    </w:p>
    <w:p w:rsidR="00FD5D85" w:rsidRPr="0053560B" w:rsidRDefault="00FD5D85" w:rsidP="00FD5D85">
      <w:pPr>
        <w:bidi/>
        <w:jc w:val="both"/>
        <w:rPr>
          <w:rFonts w:cs="Traditional Arabic"/>
          <w:b/>
          <w:bCs/>
          <w:sz w:val="24"/>
          <w:szCs w:val="24"/>
          <w:u w:val="single"/>
          <w:rtl/>
          <w:lang w:bidi="ar-EG"/>
        </w:rPr>
      </w:pPr>
      <w:r w:rsidRPr="0053560B">
        <w:rPr>
          <w:rFonts w:cs="Traditional Arabic" w:hint="cs"/>
          <w:b/>
          <w:bCs/>
          <w:sz w:val="24"/>
          <w:szCs w:val="24"/>
          <w:u w:val="single"/>
          <w:rtl/>
          <w:lang w:bidi="ar-EG"/>
        </w:rPr>
        <w:t>خطة العمل</w:t>
      </w:r>
      <w:r w:rsidR="0053560B">
        <w:rPr>
          <w:rFonts w:cs="Traditional Arabic" w:hint="cs"/>
          <w:b/>
          <w:bCs/>
          <w:sz w:val="24"/>
          <w:szCs w:val="24"/>
          <w:u w:val="single"/>
          <w:rtl/>
          <w:lang w:bidi="ar-EG"/>
        </w:rPr>
        <w:t>/آليات التنفيذ</w:t>
      </w:r>
    </w:p>
    <w:p w:rsidR="00FD5D85" w:rsidRDefault="00FD5D85" w:rsidP="00FD5D8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جمع معلومات عن </w:t>
      </w:r>
      <w:r w:rsidR="00002A59">
        <w:rPr>
          <w:rFonts w:cs="Traditional Arabic" w:hint="cs"/>
          <w:sz w:val="24"/>
          <w:szCs w:val="24"/>
          <w:rtl/>
          <w:lang w:bidi="ar-EG"/>
        </w:rPr>
        <w:t>الإجراءات</w:t>
      </w:r>
      <w:r>
        <w:rPr>
          <w:rFonts w:cs="Traditional Arabic" w:hint="cs"/>
          <w:sz w:val="24"/>
          <w:szCs w:val="24"/>
          <w:rtl/>
          <w:lang w:bidi="ar-EG"/>
        </w:rPr>
        <w:t xml:space="preserve"> و الضوابط الخاصة بنظام </w:t>
      </w:r>
      <w:r w:rsidR="00002A59">
        <w:rPr>
          <w:rFonts w:cs="Traditional Arabic" w:hint="cs"/>
          <w:sz w:val="24"/>
          <w:szCs w:val="24"/>
          <w:rtl/>
          <w:lang w:bidi="ar-EG"/>
        </w:rPr>
        <w:t>اعتماد</w:t>
      </w:r>
      <w:r>
        <w:rPr>
          <w:rFonts w:cs="Traditional Arabic" w:hint="cs"/>
          <w:sz w:val="24"/>
          <w:szCs w:val="24"/>
          <w:rtl/>
          <w:lang w:bidi="ar-EG"/>
        </w:rPr>
        <w:t xml:space="preserve"> النوع المطبقة حالياً </w:t>
      </w:r>
      <w:r w:rsidR="00002A59">
        <w:rPr>
          <w:rFonts w:cs="Traditional Arabic" w:hint="cs"/>
          <w:sz w:val="24"/>
          <w:szCs w:val="24"/>
          <w:rtl/>
          <w:lang w:bidi="ar-EG"/>
        </w:rPr>
        <w:t>في</w:t>
      </w:r>
      <w:r>
        <w:rPr>
          <w:rFonts w:cs="Traditional Arabic" w:hint="cs"/>
          <w:sz w:val="24"/>
          <w:szCs w:val="24"/>
          <w:rtl/>
          <w:lang w:bidi="ar-EG"/>
        </w:rPr>
        <w:t xml:space="preserve"> الدول أعضاء الشبكة العربية</w:t>
      </w:r>
    </w:p>
    <w:p w:rsidR="00FD5D85" w:rsidRDefault="00440F0E" w:rsidP="00FD5D8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>تحديد</w:t>
      </w:r>
      <w:r w:rsidR="00FD5D85">
        <w:rPr>
          <w:rFonts w:cs="Traditional Arabic" w:hint="cs"/>
          <w:sz w:val="24"/>
          <w:szCs w:val="24"/>
          <w:rtl/>
          <w:lang w:bidi="ar-EG"/>
        </w:rPr>
        <w:t xml:space="preserve"> نقاط التقارب </w:t>
      </w:r>
      <w:r w:rsidR="0053560B">
        <w:rPr>
          <w:rFonts w:cs="Traditional Arabic" w:hint="cs"/>
          <w:sz w:val="24"/>
          <w:szCs w:val="24"/>
          <w:rtl/>
          <w:lang w:bidi="ar-EG"/>
        </w:rPr>
        <w:t xml:space="preserve">المشتركة للاعتماد </w:t>
      </w:r>
      <w:r>
        <w:rPr>
          <w:rFonts w:cs="Traditional Arabic" w:hint="cs"/>
          <w:sz w:val="24"/>
          <w:szCs w:val="24"/>
          <w:rtl/>
          <w:lang w:bidi="ar-EG"/>
        </w:rPr>
        <w:t xml:space="preserve">عليها </w:t>
      </w:r>
      <w:r w:rsidR="00002A59">
        <w:rPr>
          <w:rFonts w:cs="Traditional Arabic" w:hint="cs"/>
          <w:sz w:val="24"/>
          <w:szCs w:val="24"/>
          <w:rtl/>
          <w:lang w:bidi="ar-EG"/>
        </w:rPr>
        <w:t>في</w:t>
      </w:r>
      <w:r>
        <w:rPr>
          <w:rFonts w:cs="Traditional Arabic" w:hint="cs"/>
          <w:sz w:val="24"/>
          <w:szCs w:val="24"/>
          <w:rtl/>
          <w:lang w:bidi="ar-EG"/>
        </w:rPr>
        <w:t xml:space="preserve"> تأكيد المطابقة و تطبيق التعارف </w:t>
      </w:r>
      <w:r w:rsidR="00002A59">
        <w:rPr>
          <w:rFonts w:cs="Traditional Arabic" w:hint="cs"/>
          <w:sz w:val="24"/>
          <w:szCs w:val="24"/>
          <w:rtl/>
          <w:lang w:bidi="ar-EG"/>
        </w:rPr>
        <w:t>البيني</w:t>
      </w:r>
    </w:p>
    <w:p w:rsidR="00440F0E" w:rsidRDefault="00002A59" w:rsidP="00440F0E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>الاتفاق</w:t>
      </w:r>
      <w:r w:rsidR="00440F0E">
        <w:rPr>
          <w:rFonts w:cs="Traditional Arabic" w:hint="cs"/>
          <w:sz w:val="24"/>
          <w:szCs w:val="24"/>
          <w:rtl/>
          <w:lang w:bidi="ar-EG"/>
        </w:rPr>
        <w:t xml:space="preserve"> على جدول </w:t>
      </w:r>
      <w:r>
        <w:rPr>
          <w:rFonts w:cs="Traditional Arabic" w:hint="cs"/>
          <w:sz w:val="24"/>
          <w:szCs w:val="24"/>
          <w:rtl/>
          <w:lang w:bidi="ar-EG"/>
        </w:rPr>
        <w:t>زمني</w:t>
      </w:r>
      <w:r w:rsidR="00440F0E">
        <w:rPr>
          <w:rFonts w:cs="Traditional Arabic" w:hint="cs"/>
          <w:sz w:val="24"/>
          <w:szCs w:val="24"/>
          <w:rtl/>
          <w:lang w:bidi="ar-EG"/>
        </w:rPr>
        <w:t xml:space="preserve"> لوضع </w:t>
      </w:r>
      <w:r w:rsidR="00C2469E">
        <w:rPr>
          <w:rFonts w:cs="Traditional Arabic" w:hint="cs"/>
          <w:sz w:val="24"/>
          <w:szCs w:val="24"/>
          <w:rtl/>
          <w:lang w:bidi="ar-EG"/>
        </w:rPr>
        <w:t>النظام المتفق عليه حيز التنفيذ</w:t>
      </w:r>
    </w:p>
    <w:p w:rsidR="00C2469E" w:rsidRDefault="00C2469E" w:rsidP="00C2469E">
      <w:pPr>
        <w:bidi/>
        <w:jc w:val="both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>نقاط للدراسة</w:t>
      </w:r>
    </w:p>
    <w:p w:rsidR="00C2469E" w:rsidRDefault="00C2469E" w:rsidP="00C2469E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نقاط قانونية و تنظيمية </w:t>
      </w:r>
      <w:r>
        <w:rPr>
          <w:rFonts w:cs="Traditional Arabic"/>
          <w:sz w:val="24"/>
          <w:szCs w:val="24"/>
          <w:rtl/>
          <w:lang w:bidi="ar-EG"/>
        </w:rPr>
        <w:t>–</w:t>
      </w:r>
      <w:r>
        <w:rPr>
          <w:rFonts w:cs="Traditional Arabic" w:hint="cs"/>
          <w:sz w:val="24"/>
          <w:szCs w:val="24"/>
          <w:rtl/>
          <w:lang w:bidi="ar-EG"/>
        </w:rPr>
        <w:t xml:space="preserve"> تعديل </w:t>
      </w:r>
      <w:r w:rsidR="00002A59">
        <w:rPr>
          <w:rFonts w:cs="Traditional Arabic" w:hint="cs"/>
          <w:sz w:val="24"/>
          <w:szCs w:val="24"/>
          <w:rtl/>
          <w:lang w:bidi="ar-EG"/>
        </w:rPr>
        <w:t>قانوني</w:t>
      </w:r>
      <w:r>
        <w:rPr>
          <w:rFonts w:cs="Traditional Arabic" w:hint="cs"/>
          <w:sz w:val="24"/>
          <w:szCs w:val="24"/>
          <w:rtl/>
          <w:lang w:bidi="ar-EG"/>
        </w:rPr>
        <w:t xml:space="preserve"> أو </w:t>
      </w:r>
      <w:r w:rsidR="00002A59">
        <w:rPr>
          <w:rFonts w:cs="Traditional Arabic" w:hint="cs"/>
          <w:sz w:val="24"/>
          <w:szCs w:val="24"/>
          <w:rtl/>
          <w:lang w:bidi="ar-EG"/>
        </w:rPr>
        <w:t>تنظيمي</w:t>
      </w:r>
      <w:r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="00002A59">
        <w:rPr>
          <w:rFonts w:cs="Traditional Arabic" w:hint="cs"/>
          <w:sz w:val="24"/>
          <w:szCs w:val="24"/>
          <w:rtl/>
          <w:lang w:bidi="ar-EG"/>
        </w:rPr>
        <w:t>أجرائي</w:t>
      </w:r>
    </w:p>
    <w:p w:rsidR="00C2469E" w:rsidRDefault="00C2469E" w:rsidP="00C2469E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أبعاد اقتصادية </w:t>
      </w:r>
      <w:r>
        <w:rPr>
          <w:rFonts w:cs="Traditional Arabic"/>
          <w:sz w:val="24"/>
          <w:szCs w:val="24"/>
          <w:rtl/>
          <w:lang w:bidi="ar-EG"/>
        </w:rPr>
        <w:t>–</w:t>
      </w:r>
      <w:r>
        <w:rPr>
          <w:rFonts w:cs="Traditional Arabic" w:hint="cs"/>
          <w:sz w:val="24"/>
          <w:szCs w:val="24"/>
          <w:rtl/>
          <w:lang w:bidi="ar-EG"/>
        </w:rPr>
        <w:t xml:space="preserve"> تحصيل رسوم </w:t>
      </w:r>
      <w:r w:rsidR="00002A59">
        <w:rPr>
          <w:rFonts w:cs="Traditional Arabic" w:hint="cs"/>
          <w:sz w:val="24"/>
          <w:szCs w:val="24"/>
          <w:rtl/>
          <w:lang w:bidi="ar-EG"/>
        </w:rPr>
        <w:t>اعتماد</w:t>
      </w:r>
      <w:r>
        <w:rPr>
          <w:rFonts w:cs="Traditional Arabic" w:hint="cs"/>
          <w:sz w:val="24"/>
          <w:szCs w:val="24"/>
          <w:rtl/>
          <w:lang w:bidi="ar-EG"/>
        </w:rPr>
        <w:t xml:space="preserve"> النوع من عدمه </w:t>
      </w:r>
      <w:r w:rsidR="00002A59">
        <w:rPr>
          <w:rFonts w:cs="Traditional Arabic" w:hint="cs"/>
          <w:sz w:val="24"/>
          <w:szCs w:val="24"/>
          <w:rtl/>
          <w:lang w:bidi="ar-EG"/>
        </w:rPr>
        <w:t>في</w:t>
      </w:r>
      <w:r>
        <w:rPr>
          <w:rFonts w:cs="Traditional Arabic" w:hint="cs"/>
          <w:sz w:val="24"/>
          <w:szCs w:val="24"/>
          <w:rtl/>
          <w:lang w:bidi="ar-EG"/>
        </w:rPr>
        <w:t xml:space="preserve"> حال المنتج محلى لأحد الدول أعضاء الشبكة أو ذات منشأ خارجها.</w:t>
      </w:r>
    </w:p>
    <w:p w:rsidR="00C2469E" w:rsidRDefault="00AA4368" w:rsidP="00AA4368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  <w:lang w:bidi="ar-EG"/>
        </w:rPr>
        <w:t xml:space="preserve">دراسة الحالات الخاصة بالأجهزة الغير مسموح </w:t>
      </w:r>
      <w:proofErr w:type="spellStart"/>
      <w:r>
        <w:rPr>
          <w:rFonts w:cs="Traditional Arabic" w:hint="cs"/>
          <w:sz w:val="24"/>
          <w:szCs w:val="24"/>
          <w:rtl/>
          <w:lang w:bidi="ar-EG"/>
        </w:rPr>
        <w:t>بها</w:t>
      </w:r>
      <w:proofErr w:type="spellEnd"/>
      <w:r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="00002A59">
        <w:rPr>
          <w:rFonts w:cs="Traditional Arabic" w:hint="cs"/>
          <w:sz w:val="24"/>
          <w:szCs w:val="24"/>
          <w:rtl/>
          <w:lang w:bidi="ar-EG"/>
        </w:rPr>
        <w:t>في</w:t>
      </w:r>
      <w:r>
        <w:rPr>
          <w:rFonts w:cs="Traditional Arabic" w:hint="cs"/>
          <w:sz w:val="24"/>
          <w:szCs w:val="24"/>
          <w:rtl/>
          <w:lang w:bidi="ar-EG"/>
        </w:rPr>
        <w:t xml:space="preserve"> بعض الدول</w:t>
      </w:r>
    </w:p>
    <w:p w:rsidR="00AA4368" w:rsidRPr="00C2469E" w:rsidRDefault="00002A59" w:rsidP="00002A59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24"/>
          <w:szCs w:val="24"/>
          <w:rtl/>
          <w:lang w:bidi="ar-EG"/>
        </w:rPr>
      </w:pPr>
      <w:r w:rsidRPr="000662C6">
        <w:rPr>
          <w:rFonts w:cs="Traditional Arabic" w:hint="cs"/>
          <w:sz w:val="24"/>
          <w:szCs w:val="24"/>
          <w:rtl/>
          <w:lang w:bidi="ar-EG"/>
        </w:rPr>
        <w:t>استثناء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عدم تطبيق التعارف </w:t>
      </w:r>
      <w:r w:rsidRPr="000662C6">
        <w:rPr>
          <w:rFonts w:cs="Traditional Arabic" w:hint="cs"/>
          <w:sz w:val="24"/>
          <w:szCs w:val="24"/>
          <w:rtl/>
          <w:lang w:bidi="ar-EG"/>
        </w:rPr>
        <w:t>البيني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</w:t>
      </w:r>
      <w:r w:rsidRPr="000662C6">
        <w:rPr>
          <w:rFonts w:cs="Traditional Arabic" w:hint="cs"/>
          <w:sz w:val="24"/>
          <w:szCs w:val="24"/>
          <w:rtl/>
          <w:lang w:bidi="ar-EG"/>
        </w:rPr>
        <w:t>في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حال وجود ضوابط و </w:t>
      </w:r>
      <w:r w:rsidRPr="000662C6">
        <w:rPr>
          <w:rFonts w:cs="Traditional Arabic" w:hint="cs"/>
          <w:sz w:val="24"/>
          <w:szCs w:val="24"/>
          <w:rtl/>
          <w:lang w:bidi="ar-EG"/>
        </w:rPr>
        <w:t>إجراءات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خاصة بأحد الدول خاصة ببلد المنشأ أو غيرها- مثل الضوابط التنظيمية الخاصة بتنظيم عملية </w:t>
      </w:r>
      <w:r w:rsidRPr="000662C6">
        <w:rPr>
          <w:rFonts w:cs="Traditional Arabic" w:hint="cs"/>
          <w:sz w:val="24"/>
          <w:szCs w:val="24"/>
          <w:rtl/>
          <w:lang w:bidi="ar-EG"/>
        </w:rPr>
        <w:t>الاستيراد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و تأكيد المطابقة لأجهزة </w:t>
      </w:r>
      <w:r w:rsidRPr="000662C6">
        <w:rPr>
          <w:rFonts w:cs="Traditional Arabic" w:hint="cs"/>
          <w:sz w:val="24"/>
          <w:szCs w:val="24"/>
          <w:rtl/>
          <w:lang w:bidi="ar-EG"/>
        </w:rPr>
        <w:t>الاتصالات</w:t>
      </w:r>
      <w:r w:rsidR="00AA4368" w:rsidRPr="000662C6">
        <w:rPr>
          <w:rFonts w:cs="Traditional Arabic" w:hint="cs"/>
          <w:sz w:val="24"/>
          <w:szCs w:val="24"/>
          <w:rtl/>
          <w:lang w:bidi="ar-EG"/>
        </w:rPr>
        <w:t xml:space="preserve"> ذات المنشأ </w:t>
      </w:r>
      <w:r w:rsidRPr="000662C6">
        <w:rPr>
          <w:rFonts w:cs="Traditional Arabic" w:hint="cs"/>
          <w:sz w:val="24"/>
          <w:szCs w:val="24"/>
          <w:rtl/>
          <w:lang w:bidi="ar-EG"/>
        </w:rPr>
        <w:t>الصيني</w:t>
      </w:r>
      <w:r>
        <w:rPr>
          <w:rFonts w:cs="Traditional Arabic" w:hint="cs"/>
          <w:sz w:val="24"/>
          <w:szCs w:val="24"/>
          <w:rtl/>
          <w:lang w:bidi="ar-EG"/>
        </w:rPr>
        <w:t>.</w:t>
      </w:r>
    </w:p>
    <w:sectPr w:rsidR="00AA4368" w:rsidRPr="00C2469E" w:rsidSect="00075E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053"/>
    <w:multiLevelType w:val="hybridMultilevel"/>
    <w:tmpl w:val="0374D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E37"/>
    <w:multiLevelType w:val="hybridMultilevel"/>
    <w:tmpl w:val="0F3E0E0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D8E72FA"/>
    <w:multiLevelType w:val="hybridMultilevel"/>
    <w:tmpl w:val="739A3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compat/>
  <w:rsids>
    <w:rsidRoot w:val="00612127"/>
    <w:rsid w:val="00002A59"/>
    <w:rsid w:val="000662C6"/>
    <w:rsid w:val="00075E4D"/>
    <w:rsid w:val="00175F51"/>
    <w:rsid w:val="00440F0E"/>
    <w:rsid w:val="00445BB4"/>
    <w:rsid w:val="0053560B"/>
    <w:rsid w:val="00612127"/>
    <w:rsid w:val="008914E4"/>
    <w:rsid w:val="008F75B7"/>
    <w:rsid w:val="00AA4368"/>
    <w:rsid w:val="00C2469E"/>
    <w:rsid w:val="00E028CC"/>
    <w:rsid w:val="00F60E63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Elmasry</dc:creator>
  <cp:keywords/>
  <dc:description/>
  <cp:lastModifiedBy>aasharaf</cp:lastModifiedBy>
  <cp:revision>4</cp:revision>
  <dcterms:created xsi:type="dcterms:W3CDTF">2012-04-04T12:07:00Z</dcterms:created>
  <dcterms:modified xsi:type="dcterms:W3CDTF">2012-04-08T11:53:00Z</dcterms:modified>
</cp:coreProperties>
</file>